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  <w:lang w:val="sr-Cyrl-RS" w:eastAsia="sr-Cyrl-RS"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4B11616E" w:rsidR="0095417D" w:rsidRPr="0095417D" w:rsidRDefault="0095417D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 xml:space="preserve">Стандард </w:t>
      </w:r>
      <w:r w:rsidR="00270D89">
        <w:rPr>
          <w:rFonts w:ascii="Arial" w:hAnsi="Arial" w:cs="Arial"/>
          <w:b/>
          <w:lang w:val="sr-Cyrl-RS"/>
        </w:rPr>
        <w:t>4</w:t>
      </w:r>
      <w:r w:rsidRPr="0095417D">
        <w:rPr>
          <w:rFonts w:ascii="Arial" w:hAnsi="Arial" w:cs="Arial"/>
          <w:b/>
          <w:lang w:val="sr-Cyrl-RS"/>
        </w:rPr>
        <w:t>:</w:t>
      </w:r>
      <w:r w:rsidRPr="00F253C2">
        <w:rPr>
          <w:rFonts w:ascii="Arial" w:hAnsi="Arial" w:cs="Arial"/>
          <w:lang w:val="sr-Cyrl-RS"/>
        </w:rPr>
        <w:t xml:space="preserve"> </w:t>
      </w:r>
    </w:p>
    <w:p w14:paraId="5847118C" w14:textId="4B3BE62F" w:rsidR="00D93CD3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Прилог 4.1. Анализа резултата анкета о мишљењу дипломираних студената о квалитету студијког програма и постигнутим исходима учења</w:t>
      </w:r>
    </w:p>
    <w:p w14:paraId="650B103B" w14:textId="42602ACB" w:rsidR="00D76FCA" w:rsidRDefault="00D76FCA" w:rsidP="00270D89">
      <w:pPr>
        <w:pStyle w:val="ListParagraph"/>
        <w:rPr>
          <w:rFonts w:ascii="Arial" w:hAnsi="Arial" w:cs="Arial"/>
          <w:lang w:val="sr-Cyrl-ME"/>
        </w:rPr>
      </w:pPr>
    </w:p>
    <w:p w14:paraId="7E568D93" w14:textId="59824CD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lastRenderedPageBreak/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</w:tblGrid>
      <w:tr w:rsidR="00F253C2" w:rsidRPr="005B64AD" w14:paraId="5BB6133C" w14:textId="0A373EE6" w:rsidTr="00F253C2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</w:tr>
      <w:tr w:rsidR="00F253C2" w:rsidRPr="005B64AD" w14:paraId="7C0C7393" w14:textId="0EC62E68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F253C2" w:rsidRPr="005B64AD" w14:paraId="478476DB" w14:textId="617027E8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F253C2" w:rsidRPr="00F253C2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BE"/>
              </w:rPr>
            </w:pPr>
            <w:proofErr w:type="spellStart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>Mogućnost</w:t>
            </w:r>
            <w:proofErr w:type="spellEnd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 xml:space="preserve"> </w:t>
            </w:r>
            <w:proofErr w:type="spellStart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>za</w:t>
            </w:r>
            <w:proofErr w:type="spellEnd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 xml:space="preserve"> </w:t>
            </w:r>
            <w:proofErr w:type="spellStart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>zapošljenje</w:t>
            </w:r>
            <w:proofErr w:type="spellEnd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 xml:space="preserve"> </w:t>
            </w:r>
            <w:proofErr w:type="spellStart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>nakon</w:t>
            </w:r>
            <w:proofErr w:type="spellEnd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 xml:space="preserve"> </w:t>
            </w:r>
            <w:proofErr w:type="spellStart"/>
            <w:r w:rsidRPr="00F253C2">
              <w:rPr>
                <w:rFonts w:ascii="Arial" w:eastAsia="Times New Roman" w:hAnsi="Arial" w:cs="Arial"/>
                <w:color w:val="000000"/>
                <w:lang w:val="fr-BE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F253C2" w:rsidRPr="005B64AD" w14:paraId="0CF140AC" w14:textId="777CCFF6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</w:tr>
      <w:tr w:rsidR="00F253C2" w:rsidRPr="005B64AD" w14:paraId="755EFF93" w14:textId="46CBE639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</w:tr>
      <w:tr w:rsidR="00F253C2" w:rsidRPr="005B64AD" w14:paraId="20953F23" w14:textId="555D30C9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</w:tr>
      <w:tr w:rsidR="00F253C2" w:rsidRPr="005B64AD" w14:paraId="622D6EC2" w14:textId="7C06BF2B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</w:tr>
      <w:tr w:rsidR="00F253C2" w:rsidRPr="005B64AD" w14:paraId="69CEBD76" w14:textId="32DE228E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</w:tr>
      <w:tr w:rsidR="00F253C2" w:rsidRPr="005B64AD" w14:paraId="63AEC9DF" w14:textId="5128E198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</w:tr>
      <w:tr w:rsidR="00F253C2" w:rsidRPr="005B64AD" w14:paraId="67DCB65E" w14:textId="06F6D8CE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</w:tr>
      <w:tr w:rsidR="00F253C2" w:rsidRPr="005B64AD" w14:paraId="14AD5D1F" w14:textId="5116B742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</w:tr>
      <w:tr w:rsidR="00F253C2" w:rsidRPr="005B64AD" w14:paraId="0AD8E832" w14:textId="4A6DA71B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</w:tr>
      <w:tr w:rsidR="00F253C2" w:rsidRPr="005B64AD" w14:paraId="21B1AE37" w14:textId="72D49D81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F253C2" w:rsidRPr="005B64AD" w14:paraId="0084F583" w14:textId="0484181A" w:rsidTr="00F253C2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F253C2" w:rsidRPr="005B64AD" w:rsidRDefault="00F253C2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F253C2" w:rsidRPr="005B64AD" w:rsidRDefault="00F253C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58191306" w:rsidR="00A80E1C" w:rsidRDefault="00A80E1C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>4,7. Анализом није утврђе</w:t>
      </w:r>
      <w:r w:rsidR="00226DD6">
        <w:rPr>
          <w:rFonts w:ascii="Arial" w:hAnsi="Arial" w:cs="Arial"/>
          <w:lang w:val="sr-Cyrl-RS"/>
        </w:rPr>
        <w:t>н није параметар чија је оцена испод границе усаглашености. Анализом је утврђена могућност побољшања квалитет</w:t>
      </w:r>
      <w:r w:rsidR="00F253C2">
        <w:rPr>
          <w:rFonts w:ascii="Arial" w:hAnsi="Arial" w:cs="Arial"/>
          <w:lang w:val="sr-Cyrl-RS"/>
        </w:rPr>
        <w:t>а организације стручне праксе за студенте основних и мастер студијских програма.</w:t>
      </w:r>
      <w:bookmarkStart w:id="0" w:name="_GoBack"/>
      <w:bookmarkEnd w:id="0"/>
    </w:p>
    <w:p w14:paraId="2D50A6FE" w14:textId="77777777" w:rsidR="00226DD6" w:rsidRDefault="00226DD6" w:rsidP="00B32905">
      <w:pPr>
        <w:jc w:val="both"/>
        <w:rPr>
          <w:rFonts w:ascii="Arial" w:hAnsi="Arial" w:cs="Arial"/>
          <w:lang w:val="sr-Cyrl-RS"/>
        </w:rPr>
      </w:pPr>
    </w:p>
    <w:p w14:paraId="43B832D4" w14:textId="65489A34" w:rsidR="00611E52" w:rsidRDefault="00611E52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335DC509" w:rsidR="00611E52" w:rsidRDefault="00226DD6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 xml:space="preserve">студената стручном праксом на ФИТ </w:t>
      </w:r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80DCD"/>
    <w:rsid w:val="005B64AD"/>
    <w:rsid w:val="00611E52"/>
    <w:rsid w:val="00652EAB"/>
    <w:rsid w:val="006563D8"/>
    <w:rsid w:val="00734263"/>
    <w:rsid w:val="007866C3"/>
    <w:rsid w:val="007B5003"/>
    <w:rsid w:val="008B4FE5"/>
    <w:rsid w:val="0095417D"/>
    <w:rsid w:val="00A80E1C"/>
    <w:rsid w:val="00B32905"/>
    <w:rsid w:val="00C45A36"/>
    <w:rsid w:val="00D10EB4"/>
    <w:rsid w:val="00D47E17"/>
    <w:rsid w:val="00D76FCA"/>
    <w:rsid w:val="00D93CD3"/>
    <w:rsid w:val="00E27BD2"/>
    <w:rsid w:val="00F2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MV_Vlada</cp:lastModifiedBy>
  <cp:revision>8</cp:revision>
  <dcterms:created xsi:type="dcterms:W3CDTF">2021-11-21T21:31:00Z</dcterms:created>
  <dcterms:modified xsi:type="dcterms:W3CDTF">2023-01-30T11:37:00Z</dcterms:modified>
</cp:coreProperties>
</file>